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2" w:type="dxa"/>
        <w:tblInd w:w="-34" w:type="dxa"/>
        <w:tblLook w:val="04A0" w:firstRow="1" w:lastRow="0" w:firstColumn="1" w:lastColumn="0" w:noHBand="0" w:noVBand="1"/>
      </w:tblPr>
      <w:tblGrid>
        <w:gridCol w:w="4655"/>
        <w:gridCol w:w="4857"/>
      </w:tblGrid>
      <w:tr w:rsidR="00641C06" w:rsidRPr="00641C06" w14:paraId="6B99A1EE" w14:textId="77777777" w:rsidTr="00854B03">
        <w:tc>
          <w:tcPr>
            <w:tcW w:w="4655" w:type="dxa"/>
          </w:tcPr>
          <w:p w14:paraId="487F1657" w14:textId="198BCD5A" w:rsidR="00641C06" w:rsidRPr="00641C06" w:rsidRDefault="00641C06" w:rsidP="00641C06">
            <w:pPr>
              <w:pStyle w:val="BodyTex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szCs w:val="22"/>
                <w:lang w:val="ru-RU"/>
              </w:rPr>
              <w:t>Врз основа на чл</w:t>
            </w:r>
            <w:r w:rsidR="00FB7E19">
              <w:rPr>
                <w:rFonts w:asciiTheme="minorHAnsi" w:hAnsiTheme="minorHAnsi" w:cstheme="minorHAnsi"/>
                <w:szCs w:val="22"/>
                <w:lang w:val="ru-RU"/>
              </w:rPr>
              <w:t>ен</w:t>
            </w:r>
            <w:r w:rsidRPr="00641C06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702F3F" w:rsidRPr="00702F3F">
              <w:rPr>
                <w:rFonts w:asciiTheme="minorHAnsi" w:hAnsiTheme="minorHAnsi" w:cstheme="minorHAnsi"/>
                <w:szCs w:val="22"/>
                <w:lang w:val="ru-RU"/>
              </w:rPr>
              <w:t>353</w:t>
            </w:r>
            <w:r w:rsidR="00702F3F">
              <w:rPr>
                <w:rFonts w:asciiTheme="minorHAnsi" w:hAnsiTheme="minorHAnsi" w:cstheme="minorHAnsi"/>
                <w:szCs w:val="22"/>
              </w:rPr>
              <w:t xml:space="preserve"> ст.1 т. 1, член </w:t>
            </w:r>
            <w:r w:rsidRPr="00641C06">
              <w:rPr>
                <w:rFonts w:asciiTheme="minorHAnsi" w:hAnsiTheme="minorHAnsi" w:cstheme="minorHAnsi"/>
                <w:szCs w:val="22"/>
                <w:lang w:val="ru-RU"/>
              </w:rPr>
              <w:t>358</w:t>
            </w:r>
            <w:r w:rsidR="00FE3477">
              <w:rPr>
                <w:rFonts w:asciiTheme="minorHAnsi" w:hAnsiTheme="minorHAnsi" w:cstheme="minorHAnsi"/>
                <w:szCs w:val="22"/>
              </w:rPr>
              <w:t xml:space="preserve"> и член 383 ст. 1 т. 2</w:t>
            </w:r>
            <w:r w:rsidRPr="00641C06">
              <w:rPr>
                <w:rFonts w:asciiTheme="minorHAnsi" w:hAnsiTheme="minorHAnsi" w:cstheme="minorHAnsi"/>
                <w:szCs w:val="22"/>
                <w:lang w:val="ru-RU"/>
              </w:rPr>
              <w:t xml:space="preserve"> од Законот за трговски друштва</w:t>
            </w:r>
            <w:r w:rsidR="00FB7E19">
              <w:rPr>
                <w:rFonts w:asciiTheme="minorHAnsi" w:hAnsiTheme="minorHAnsi" w:cstheme="minorHAnsi"/>
                <w:szCs w:val="22"/>
                <w:lang w:val="ru-RU"/>
              </w:rPr>
              <w:t>,</w:t>
            </w:r>
            <w:r w:rsidRPr="00641C06">
              <w:rPr>
                <w:rFonts w:asciiTheme="minorHAnsi" w:hAnsiTheme="minorHAnsi" w:cstheme="minorHAnsi"/>
                <w:szCs w:val="22"/>
                <w:lang w:val="ru-RU"/>
              </w:rPr>
              <w:t xml:space="preserve"> чл</w:t>
            </w:r>
            <w:r w:rsidR="00FB7E19">
              <w:rPr>
                <w:rFonts w:asciiTheme="minorHAnsi" w:hAnsiTheme="minorHAnsi" w:cstheme="minorHAnsi"/>
                <w:szCs w:val="22"/>
                <w:lang w:val="ru-RU"/>
              </w:rPr>
              <w:t>ен</w:t>
            </w:r>
            <w:r w:rsidRPr="00641C06">
              <w:rPr>
                <w:rFonts w:asciiTheme="minorHAnsi" w:hAnsiTheme="minorHAnsi" w:cstheme="minorHAnsi"/>
                <w:szCs w:val="22"/>
                <w:lang w:val="ru-RU"/>
              </w:rPr>
              <w:t xml:space="preserve"> 34</w:t>
            </w:r>
            <w:r w:rsidR="00FB7E19">
              <w:rPr>
                <w:rFonts w:asciiTheme="minorHAnsi" w:hAnsiTheme="minorHAnsi" w:cstheme="minorHAnsi"/>
                <w:szCs w:val="22"/>
                <w:lang w:val="ru-RU"/>
              </w:rPr>
              <w:t xml:space="preserve"> и член 44 т. 14</w:t>
            </w:r>
            <w:r w:rsidRPr="00641C06">
              <w:rPr>
                <w:rFonts w:asciiTheme="minorHAnsi" w:hAnsiTheme="minorHAnsi" w:cstheme="minorHAnsi"/>
                <w:szCs w:val="22"/>
                <w:lang w:val="ru-RU"/>
              </w:rPr>
              <w:t xml:space="preserve"> од Статутот на Цементарница УСЈЕ АД Скопје, Одборот на Директори без одржување на седница </w:t>
            </w:r>
            <w:r w:rsidR="002E215B">
              <w:rPr>
                <w:rFonts w:asciiTheme="minorHAnsi" w:hAnsiTheme="minorHAnsi" w:cstheme="minorHAnsi"/>
                <w:szCs w:val="22"/>
              </w:rPr>
              <w:t xml:space="preserve">на ден </w:t>
            </w:r>
            <w:r w:rsidR="00BB0308">
              <w:rPr>
                <w:rFonts w:asciiTheme="minorHAnsi" w:hAnsiTheme="minorHAnsi" w:cstheme="minorHAnsi"/>
                <w:szCs w:val="22"/>
              </w:rPr>
              <w:t>13</w:t>
            </w:r>
            <w:r w:rsidR="007A46F4">
              <w:rPr>
                <w:rFonts w:asciiTheme="minorHAnsi" w:hAnsiTheme="minorHAnsi" w:cstheme="minorHAnsi"/>
                <w:szCs w:val="22"/>
              </w:rPr>
              <w:t>.04.202</w:t>
            </w:r>
            <w:r w:rsidR="00A11E4F" w:rsidRPr="00A11E4F">
              <w:rPr>
                <w:rFonts w:asciiTheme="minorHAnsi" w:hAnsiTheme="minorHAnsi" w:cstheme="minorHAnsi"/>
                <w:szCs w:val="22"/>
                <w:lang w:val="ru-RU"/>
              </w:rPr>
              <w:t>3</w:t>
            </w:r>
            <w:r w:rsidR="002E215B">
              <w:rPr>
                <w:rFonts w:asciiTheme="minorHAnsi" w:hAnsiTheme="minorHAnsi" w:cstheme="minorHAnsi"/>
                <w:szCs w:val="22"/>
              </w:rPr>
              <w:t xml:space="preserve"> година </w:t>
            </w:r>
            <w:r w:rsidRPr="00641C06">
              <w:rPr>
                <w:rFonts w:asciiTheme="minorHAnsi" w:hAnsiTheme="minorHAnsi" w:cstheme="minorHAnsi"/>
                <w:szCs w:val="22"/>
                <w:lang w:val="ru-RU"/>
              </w:rPr>
              <w:t>донесе</w:t>
            </w:r>
          </w:p>
          <w:p w14:paraId="32290D51" w14:textId="77777777" w:rsidR="00FB7E19" w:rsidRPr="00641C06" w:rsidRDefault="00FB7E19" w:rsidP="00641C06">
            <w:pPr>
              <w:pStyle w:val="BodyText"/>
              <w:tabs>
                <w:tab w:val="left" w:pos="1132"/>
              </w:tabs>
              <w:rPr>
                <w:rFonts w:asciiTheme="minorHAnsi" w:hAnsiTheme="minorHAnsi" w:cstheme="minorHAnsi"/>
                <w:szCs w:val="22"/>
                <w:lang w:val="ru-RU"/>
              </w:rPr>
            </w:pPr>
          </w:p>
          <w:p w14:paraId="71F33E77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ПРЕДЛОГ ОДЛУКА</w:t>
            </w:r>
          </w:p>
          <w:p w14:paraId="1BB057B0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 одобрување на ревидираните:  </w:t>
            </w:r>
          </w:p>
          <w:p w14:paraId="5720C989" w14:textId="5979B6F4" w:rsidR="00641C06" w:rsidRDefault="00641C06" w:rsidP="00641C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Годишна сметка, Финансиски извештаи (поединечни и консолидирани) и Извештајот за работењето на Цементарница УСЈЕ АД Скопје за 20</w:t>
            </w:r>
            <w:r w:rsidR="007A46F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="00A11E4F" w:rsidRPr="00A11E4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година </w:t>
            </w:r>
          </w:p>
          <w:p w14:paraId="1FE07B5E" w14:textId="77777777" w:rsidR="00641C06" w:rsidRPr="00641C06" w:rsidRDefault="00641C06" w:rsidP="00641C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</w:p>
          <w:p w14:paraId="01E97C86" w14:textId="77777777" w:rsidR="00641C06" w:rsidRPr="00641C06" w:rsidRDefault="00641C06" w:rsidP="00641C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Чл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н 1</w:t>
            </w:r>
          </w:p>
          <w:p w14:paraId="755ADD12" w14:textId="7A87007D" w:rsidR="00641C06" w:rsidRDefault="00641C06" w:rsidP="00641C06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Се ОДОБРУВААТ ревидираните поединечни: Годишна сметка, Финансиски извештаи и Извештајот за работењето на Цементарница УСЈЕ</w:t>
            </w:r>
            <w:r w:rsidRPr="00641C0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АД Скопје за 20</w:t>
            </w:r>
            <w:r w:rsidR="007A46F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="00A11E4F" w:rsidRPr="00A11E4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година. </w:t>
            </w:r>
          </w:p>
          <w:p w14:paraId="0F5F918D" w14:textId="77777777" w:rsidR="00641C06" w:rsidRPr="00641C06" w:rsidRDefault="00641C06" w:rsidP="00641C06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39DFE4D1" w14:textId="77777777" w:rsidR="00641C06" w:rsidRPr="00641C06" w:rsidRDefault="00641C06" w:rsidP="00641C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Чл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н</w:t>
            </w:r>
            <w:r w:rsidRPr="00641C0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2</w:t>
            </w:r>
          </w:p>
          <w:p w14:paraId="5D59F845" w14:textId="4A7BC2FB" w:rsidR="00641C06" w:rsidRDefault="00641C06" w:rsidP="00641C06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Се ОДОБРУВААТ ревидираните консолидирани: Годишна сметка и Финансиски извештаи на Цементарница УСЈЕ АД Скопје за 20</w:t>
            </w:r>
            <w:r w:rsidR="007A46F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="00A11E4F" w:rsidRPr="00A11E4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година.</w:t>
            </w:r>
          </w:p>
          <w:p w14:paraId="5FFD386D" w14:textId="77777777" w:rsidR="00641C06" w:rsidRPr="00641C06" w:rsidRDefault="00641C06" w:rsidP="00641C06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5F9660CE" w14:textId="77777777" w:rsidR="00641C06" w:rsidRPr="00641C06" w:rsidRDefault="00641C06" w:rsidP="00641C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Чл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н</w:t>
            </w:r>
            <w:r w:rsidRPr="00641C0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3</w:t>
            </w:r>
          </w:p>
          <w:p w14:paraId="270CB4B3" w14:textId="1418A655" w:rsidR="00641C06" w:rsidRPr="00641C06" w:rsidRDefault="00641C06" w:rsidP="00641C06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Годишната сметка, Финансиските извештаи (поединечни и консолидирани) и Извештајот за работењето на Друштвото за 20</w:t>
            </w:r>
            <w:r w:rsidR="007A46F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="00A11E4F" w:rsidRPr="00A11E4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година се составен дел на оваа Одлука.</w:t>
            </w:r>
          </w:p>
          <w:p w14:paraId="2D7D0627" w14:textId="7FF0BDA1" w:rsidR="00641C06" w:rsidRDefault="00641C06" w:rsidP="00641C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</w:p>
          <w:p w14:paraId="51A7D8C0" w14:textId="77777777" w:rsidR="00641C06" w:rsidRPr="00641C06" w:rsidRDefault="00641C06" w:rsidP="00641C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</w:p>
          <w:p w14:paraId="3061D8D1" w14:textId="77777777" w:rsidR="00641C06" w:rsidRPr="00641C06" w:rsidRDefault="00641C06" w:rsidP="00641C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Чл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н</w:t>
            </w:r>
            <w:r w:rsidRPr="00641C0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4</w:t>
            </w:r>
          </w:p>
          <w:p w14:paraId="34C78AD1" w14:textId="23D46CD1" w:rsidR="00641C06" w:rsidRDefault="00641C06" w:rsidP="00641C06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Одлуката стапува во сила со денот на донесувањето.</w:t>
            </w:r>
          </w:p>
          <w:p w14:paraId="275F485F" w14:textId="77777777" w:rsidR="00641C06" w:rsidRPr="00641C06" w:rsidRDefault="00641C06" w:rsidP="00641C06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62532F0" w14:textId="77777777" w:rsidR="00641C06" w:rsidRPr="00641C06" w:rsidRDefault="00641C06" w:rsidP="00641C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Чл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н</w:t>
            </w:r>
            <w:r w:rsidRPr="00641C0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5</w:t>
            </w:r>
          </w:p>
          <w:p w14:paraId="3C20182D" w14:textId="77777777" w:rsidR="00641C06" w:rsidRPr="00641C06" w:rsidRDefault="00641C06" w:rsidP="00641C06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Се задолжуваат </w:t>
            </w: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Стручните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служби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секоја во </w:t>
            </w: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својот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делокруг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работење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 ги преземат </w:t>
            </w: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потребните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активности за </w:t>
            </w: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спроведување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 оваа Одлука.</w:t>
            </w:r>
          </w:p>
          <w:p w14:paraId="364C3AE8" w14:textId="77777777" w:rsidR="00641C06" w:rsidRPr="00641C06" w:rsidRDefault="00641C06" w:rsidP="00641C0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ru-RU"/>
              </w:rPr>
            </w:pPr>
          </w:p>
          <w:p w14:paraId="257CB7D7" w14:textId="77777777" w:rsidR="00641C06" w:rsidRPr="00641C06" w:rsidRDefault="00641C06" w:rsidP="00641C06">
            <w:pPr>
              <w:pStyle w:val="BodyText"/>
              <w:jc w:val="center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41C06">
              <w:rPr>
                <w:rFonts w:asciiTheme="minorHAnsi" w:hAnsiTheme="minorHAnsi" w:cstheme="minorHAnsi"/>
                <w:b/>
                <w:bCs/>
                <w:iCs/>
                <w:szCs w:val="22"/>
                <w:lang w:val="ru-RU"/>
              </w:rPr>
              <w:t>Чл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</w:t>
            </w:r>
            <w:r w:rsidRPr="00641C06">
              <w:rPr>
                <w:rFonts w:asciiTheme="minorHAnsi" w:hAnsiTheme="minorHAnsi" w:cstheme="minorHAnsi"/>
                <w:b/>
                <w:bCs/>
                <w:iCs/>
                <w:szCs w:val="22"/>
                <w:lang w:val="ru-RU"/>
              </w:rPr>
              <w:t>н</w:t>
            </w:r>
            <w:r w:rsidRPr="00641C06">
              <w:rPr>
                <w:rFonts w:asciiTheme="minorHAnsi" w:hAnsiTheme="minorHAnsi" w:cstheme="minorHAnsi"/>
                <w:b/>
                <w:szCs w:val="22"/>
                <w:lang w:val="ru-RU"/>
              </w:rPr>
              <w:t xml:space="preserve"> 6</w:t>
            </w:r>
          </w:p>
          <w:p w14:paraId="3CA5799D" w14:textId="628C2D7A" w:rsidR="00641C06" w:rsidRP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длог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Одлуката за одобрување на ревидираните: Годишна сметка, Финансиски извештаи (</w:t>
            </w: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единечни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консолидирани) и Извештајот за работењето на Цементарница УСЈЕ АД Скопје за 20</w:t>
            </w:r>
            <w:r w:rsidR="007A46F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="00A11E4F" w:rsidRPr="00A11E4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година да се достави до </w:t>
            </w: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Собранието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 акционери заради донесување.</w:t>
            </w:r>
          </w:p>
          <w:p w14:paraId="333752F4" w14:textId="2CBE539B" w:rsidR="00641C06" w:rsidRDefault="00641C06" w:rsidP="00641C0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C762917" w14:textId="77777777" w:rsidR="00641C06" w:rsidRPr="00641C06" w:rsidRDefault="00641C06" w:rsidP="00641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Д.Н.</w:t>
            </w:r>
          </w:p>
          <w:p w14:paraId="0C133804" w14:textId="77777777" w:rsidR="00641C06" w:rsidRPr="00641C06" w:rsidRDefault="00641C06" w:rsidP="00641C06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</w:rPr>
              <w:t>Архива</w:t>
            </w:r>
            <w:proofErr w:type="spellEnd"/>
          </w:p>
          <w:p w14:paraId="5858B137" w14:textId="77777777" w:rsidR="00641C06" w:rsidRPr="00641C06" w:rsidRDefault="00641C06" w:rsidP="00641C06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C06">
              <w:rPr>
                <w:rFonts w:asciiTheme="minorHAnsi" w:hAnsiTheme="minorHAnsi" w:cstheme="minorHAnsi"/>
                <w:sz w:val="22"/>
                <w:szCs w:val="22"/>
              </w:rPr>
              <w:t>Сектор</w:t>
            </w:r>
            <w:proofErr w:type="spellEnd"/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 за финансии</w:t>
            </w:r>
          </w:p>
          <w:p w14:paraId="5D937AEC" w14:textId="77777777" w:rsidR="00641C06" w:rsidRPr="00641C06" w:rsidRDefault="00641C06" w:rsidP="00641C06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>Правна служба</w:t>
            </w:r>
          </w:p>
          <w:p w14:paraId="7286B07A" w14:textId="77777777" w:rsidR="00641C06" w:rsidRP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4857" w:type="dxa"/>
          </w:tcPr>
          <w:p w14:paraId="27330587" w14:textId="78FA75A9" w:rsidR="00641C06" w:rsidRPr="00A11E4F" w:rsidRDefault="00641C06" w:rsidP="00641C06">
            <w:pPr>
              <w:pStyle w:val="Body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41C06">
              <w:rPr>
                <w:rFonts w:asciiTheme="minorHAnsi" w:hAnsiTheme="minorHAnsi" w:cstheme="minorHAnsi"/>
                <w:szCs w:val="22"/>
              </w:rPr>
              <w:lastRenderedPageBreak/>
              <w:t>Pursuant to Article</w:t>
            </w:r>
            <w:r w:rsidR="00702F3F">
              <w:rPr>
                <w:rFonts w:asciiTheme="minorHAnsi" w:hAnsiTheme="minorHAnsi" w:cstheme="minorHAnsi"/>
                <w:szCs w:val="22"/>
                <w:lang w:val="en-US"/>
              </w:rPr>
              <w:t xml:space="preserve"> 353 paragraph 1 item 1, Article </w:t>
            </w:r>
            <w:r w:rsidRPr="00641C06">
              <w:rPr>
                <w:rFonts w:asciiTheme="minorHAnsi" w:hAnsiTheme="minorHAnsi" w:cstheme="minorHAnsi"/>
                <w:szCs w:val="22"/>
              </w:rPr>
              <w:t xml:space="preserve"> 358 </w:t>
            </w:r>
            <w:r w:rsidR="00FE3477">
              <w:rPr>
                <w:rFonts w:asciiTheme="minorHAnsi" w:hAnsiTheme="minorHAnsi" w:cstheme="minorHAnsi"/>
                <w:szCs w:val="22"/>
                <w:lang w:val="en-US"/>
              </w:rPr>
              <w:t xml:space="preserve">and Article 383 paragraph 1 item 2 </w:t>
            </w:r>
            <w:r w:rsidRPr="00641C06">
              <w:rPr>
                <w:rFonts w:asciiTheme="minorHAnsi" w:hAnsiTheme="minorHAnsi" w:cstheme="minorHAnsi"/>
                <w:szCs w:val="22"/>
              </w:rPr>
              <w:t>of the Trade Companies Law</w:t>
            </w:r>
            <w:r w:rsidR="00FB7E19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FB7E19">
              <w:rPr>
                <w:rFonts w:asciiTheme="minorHAnsi" w:hAnsiTheme="minorHAnsi" w:cstheme="minorHAnsi"/>
                <w:szCs w:val="22"/>
                <w:lang w:val="en-US"/>
              </w:rPr>
              <w:t>Article 34</w:t>
            </w:r>
            <w:r w:rsidRPr="00641C06">
              <w:rPr>
                <w:rFonts w:asciiTheme="minorHAnsi" w:hAnsiTheme="minorHAnsi" w:cstheme="minorHAnsi"/>
                <w:szCs w:val="22"/>
              </w:rPr>
              <w:t xml:space="preserve"> and Article </w:t>
            </w:r>
            <w:r w:rsidR="00FB7E19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  <w:r w:rsidRPr="00641C06">
              <w:rPr>
                <w:rFonts w:asciiTheme="minorHAnsi" w:hAnsiTheme="minorHAnsi" w:cstheme="minorHAnsi"/>
                <w:szCs w:val="22"/>
              </w:rPr>
              <w:t>4</w:t>
            </w:r>
            <w:r w:rsidR="00FB7E19">
              <w:rPr>
                <w:rFonts w:asciiTheme="minorHAnsi" w:hAnsiTheme="minorHAnsi" w:cstheme="minorHAnsi"/>
                <w:szCs w:val="22"/>
                <w:lang w:val="en-US"/>
              </w:rPr>
              <w:t xml:space="preserve"> item 14</w:t>
            </w:r>
            <w:r w:rsidRPr="00641C06">
              <w:rPr>
                <w:rFonts w:asciiTheme="minorHAnsi" w:hAnsiTheme="minorHAnsi" w:cstheme="minorHAnsi"/>
                <w:szCs w:val="22"/>
              </w:rPr>
              <w:t xml:space="preserve"> of the Statute of Cementarnica Usje AD Skopje, the Board of Directors without holding a session </w:t>
            </w:r>
            <w:r w:rsidR="002E215B">
              <w:rPr>
                <w:rFonts w:asciiTheme="minorHAnsi" w:hAnsiTheme="minorHAnsi" w:cstheme="minorHAnsi"/>
                <w:szCs w:val="22"/>
                <w:lang w:val="en-US"/>
              </w:rPr>
              <w:t xml:space="preserve">on </w:t>
            </w:r>
            <w:r w:rsidR="00BB0308">
              <w:rPr>
                <w:rFonts w:asciiTheme="minorHAnsi" w:hAnsiTheme="minorHAnsi" w:cstheme="minorHAnsi"/>
                <w:szCs w:val="22"/>
              </w:rPr>
              <w:t>13</w:t>
            </w:r>
            <w:r w:rsidR="00A11E4F">
              <w:rPr>
                <w:rFonts w:asciiTheme="minorHAnsi" w:hAnsiTheme="minorHAnsi" w:cstheme="minorHAnsi"/>
                <w:szCs w:val="22"/>
              </w:rPr>
              <w:t>.04.202</w:t>
            </w:r>
            <w:r w:rsidR="00A11E4F" w:rsidRPr="00A11E4F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  <w:r w:rsidR="00A11E4F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641C06">
              <w:rPr>
                <w:rFonts w:asciiTheme="minorHAnsi" w:hAnsiTheme="minorHAnsi" w:cstheme="minorHAnsi"/>
                <w:szCs w:val="22"/>
              </w:rPr>
              <w:t xml:space="preserve">adopted the following </w:t>
            </w:r>
          </w:p>
          <w:p w14:paraId="6B67D9F7" w14:textId="283E8144" w:rsidR="00641C06" w:rsidRDefault="00641C06" w:rsidP="00641C06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0A21D557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DRAFT DECISION </w:t>
            </w:r>
          </w:p>
          <w:p w14:paraId="4F0220C7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On approving the audited: </w:t>
            </w:r>
          </w:p>
          <w:p w14:paraId="1FB058A6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Annual Account, Financial Statements (standalone and consolidated) and </w:t>
            </w:r>
          </w:p>
          <w:p w14:paraId="4B45906D" w14:textId="3BD3DD20" w:rsidR="00641C06" w:rsidRPr="00A11E4F" w:rsidRDefault="00641C06" w:rsidP="00641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>Report for the operations of Cementarnica U</w:t>
            </w:r>
            <w:r w:rsidR="00A11E4F">
              <w:rPr>
                <w:rFonts w:asciiTheme="minorHAnsi" w:hAnsiTheme="minorHAnsi" w:cstheme="minorHAnsi"/>
                <w:sz w:val="22"/>
                <w:szCs w:val="22"/>
              </w:rPr>
              <w:t>SJE</w:t>
            </w: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 AD Skopje for the year 20</w:t>
            </w:r>
            <w:r w:rsidR="007A46F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2</w:t>
            </w:r>
            <w:r w:rsidR="00A11E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4568606B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14:paraId="2EE79A21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b/>
                <w:sz w:val="22"/>
                <w:szCs w:val="22"/>
              </w:rPr>
              <w:t>Article 1</w:t>
            </w:r>
          </w:p>
          <w:p w14:paraId="0610A315" w14:textId="2F114AD6" w:rsid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>The audited standalone: Annual Account, Financial Statements and Report for the operations of Cementarnica U</w:t>
            </w:r>
            <w:r w:rsidR="00A11E4F">
              <w:rPr>
                <w:rFonts w:asciiTheme="minorHAnsi" w:hAnsiTheme="minorHAnsi" w:cstheme="minorHAnsi"/>
                <w:sz w:val="22"/>
                <w:szCs w:val="22"/>
              </w:rPr>
              <w:t>SJE</w:t>
            </w: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 AD Skopje for the year 20</w:t>
            </w:r>
            <w:r w:rsidR="007A46F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2</w:t>
            </w:r>
            <w:r w:rsidR="00A11E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A46F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ARE APPROVED. </w:t>
            </w:r>
          </w:p>
          <w:p w14:paraId="49E8AE3E" w14:textId="77777777" w:rsidR="00641C06" w:rsidRP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D0DDB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b/>
                <w:sz w:val="22"/>
                <w:szCs w:val="22"/>
              </w:rPr>
              <w:t>Article 2</w:t>
            </w:r>
          </w:p>
          <w:p w14:paraId="7219715C" w14:textId="01EED789" w:rsidR="00641C06" w:rsidRP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The audited consolidated: Annual Account and Financial Statements of the Cementarnica </w:t>
            </w:r>
            <w:r w:rsidR="00A11E4F" w:rsidRPr="00641C06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11E4F">
              <w:rPr>
                <w:rFonts w:asciiTheme="minorHAnsi" w:hAnsiTheme="minorHAnsi" w:cstheme="minorHAnsi"/>
                <w:sz w:val="22"/>
                <w:szCs w:val="22"/>
              </w:rPr>
              <w:t>SJE</w:t>
            </w: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 AD Skopje for the year 20</w:t>
            </w:r>
            <w:r w:rsidR="007A46F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2</w:t>
            </w:r>
            <w:r w:rsidR="00A11E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 ARE APPROVED. </w:t>
            </w:r>
            <w:r w:rsidR="00A11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1EB85A" w14:textId="106A9C1F" w:rsid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F401AA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933E1F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b/>
                <w:sz w:val="22"/>
                <w:szCs w:val="22"/>
              </w:rPr>
              <w:t>Article 3</w:t>
            </w:r>
          </w:p>
          <w:p w14:paraId="29C2F48B" w14:textId="44DC3D1E" w:rsid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The Annual account, the Financial Statements (standalone and consolidated) and the Report for the operations of the Cementarnica </w:t>
            </w:r>
            <w:r w:rsidR="00A11E4F" w:rsidRPr="00641C06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11E4F">
              <w:rPr>
                <w:rFonts w:asciiTheme="minorHAnsi" w:hAnsiTheme="minorHAnsi" w:cstheme="minorHAnsi"/>
                <w:sz w:val="22"/>
                <w:szCs w:val="22"/>
              </w:rPr>
              <w:t>SJE</w:t>
            </w: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 AD Skopje for the year 20</w:t>
            </w:r>
            <w:r w:rsidR="007A46F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2</w:t>
            </w:r>
            <w:r w:rsidR="00A11E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 are considered as part of this Decision.</w:t>
            </w:r>
          </w:p>
          <w:p w14:paraId="57D1B9DE" w14:textId="77777777" w:rsidR="00641C06" w:rsidRP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C44B3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b/>
                <w:sz w:val="22"/>
                <w:szCs w:val="22"/>
              </w:rPr>
              <w:t>Article 4</w:t>
            </w:r>
          </w:p>
          <w:p w14:paraId="38545674" w14:textId="0D683211" w:rsid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>This Decision comes into force on the day of its adoption.</w:t>
            </w: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1556993" w14:textId="77777777" w:rsidR="00641C06" w:rsidRP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5684D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b/>
                <w:sz w:val="22"/>
                <w:szCs w:val="22"/>
              </w:rPr>
              <w:t>Article 5</w:t>
            </w:r>
          </w:p>
          <w:p w14:paraId="16FF0261" w14:textId="77777777" w:rsidR="00641C06" w:rsidRP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The relevant departments are hereby obliged each in its competence to undertake the necessary activities for implementation of this decision. </w:t>
            </w:r>
          </w:p>
          <w:p w14:paraId="500B03C0" w14:textId="777777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37622F" w14:textId="77777777" w:rsid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9BC5A6" w14:textId="74C01D77" w:rsidR="00641C06" w:rsidRPr="00641C06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b/>
                <w:sz w:val="22"/>
                <w:szCs w:val="22"/>
              </w:rPr>
              <w:t>Article 6</w:t>
            </w:r>
          </w:p>
          <w:p w14:paraId="5FFA5688" w14:textId="08C736C1" w:rsidR="00641C06" w:rsidRP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>The draft decision on approving the audited: Annual Account, Financial Statements and Report for the operations of Cementarnica Usje AD Skopje for the year 20</w:t>
            </w:r>
            <w:r w:rsidR="007A46F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2</w:t>
            </w:r>
            <w:r w:rsidR="00A11E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 is to be submitted to the Shareholders Assembly in order to be adopted.</w:t>
            </w:r>
          </w:p>
          <w:p w14:paraId="21D68875" w14:textId="1803CE76" w:rsidR="00641C06" w:rsidRDefault="00641C06" w:rsidP="00641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43BB6" w14:textId="5443B3D2" w:rsidR="00641C06" w:rsidRDefault="00641C06" w:rsidP="00641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43A24" w14:textId="77777777" w:rsidR="00641C06" w:rsidRPr="00641C06" w:rsidRDefault="00641C06" w:rsidP="00641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To be sent to: </w:t>
            </w:r>
          </w:p>
          <w:p w14:paraId="0E876AFF" w14:textId="77777777" w:rsidR="00641C06" w:rsidRPr="00641C06" w:rsidRDefault="00641C06" w:rsidP="00641C06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>Archive</w:t>
            </w:r>
          </w:p>
          <w:p w14:paraId="7C206C09" w14:textId="6F3572AD" w:rsidR="00641C06" w:rsidRPr="00641C06" w:rsidRDefault="00641C06" w:rsidP="00641C06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Finance </w:t>
            </w:r>
            <w:r w:rsidR="008F24E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>epartment</w:t>
            </w:r>
          </w:p>
          <w:p w14:paraId="02DD8657" w14:textId="25BDA9EF" w:rsidR="00641C06" w:rsidRPr="00641C06" w:rsidRDefault="00641C06" w:rsidP="00641C06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C06">
              <w:rPr>
                <w:rFonts w:asciiTheme="minorHAnsi" w:hAnsiTheme="minorHAnsi" w:cstheme="minorHAnsi"/>
                <w:sz w:val="22"/>
                <w:szCs w:val="22"/>
              </w:rPr>
              <w:t xml:space="preserve">Legal </w:t>
            </w:r>
            <w:r w:rsidR="008F24E6">
              <w:rPr>
                <w:rFonts w:asciiTheme="minorHAnsi" w:hAnsiTheme="minorHAnsi" w:cstheme="minorHAnsi"/>
                <w:sz w:val="22"/>
                <w:szCs w:val="22"/>
              </w:rPr>
              <w:t>Section</w:t>
            </w:r>
          </w:p>
          <w:p w14:paraId="6C2892EE" w14:textId="094D504D" w:rsidR="00641C06" w:rsidRPr="00641C06" w:rsidRDefault="00641C06" w:rsidP="00641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06" w:rsidRPr="00641C06" w14:paraId="184D9A47" w14:textId="77777777" w:rsidTr="00854B03">
        <w:trPr>
          <w:trHeight w:val="137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56D" w14:textId="77777777" w:rsidR="00641C06" w:rsidRPr="00641C06" w:rsidRDefault="00641C06" w:rsidP="00641C06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14:paraId="060E37D8" w14:textId="77777777" w:rsidR="00641C06" w:rsidRPr="00A11E4F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A11E4F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Одбор на директор/ Board of Directors</w:t>
            </w:r>
          </w:p>
          <w:p w14:paraId="6A8116FC" w14:textId="77777777" w:rsidR="00641C06" w:rsidRPr="00A11E4F" w:rsidRDefault="00641C06" w:rsidP="00641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A11E4F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Претседател/President</w:t>
            </w:r>
          </w:p>
          <w:p w14:paraId="571FCE3B" w14:textId="5B690C72" w:rsidR="00641C06" w:rsidRPr="00A11E4F" w:rsidRDefault="007A46F4" w:rsidP="00641C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r w:rsidRPr="00A11E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>Јанис Паниарас</w:t>
            </w:r>
            <w:r w:rsidRPr="00A11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11E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>/</w:t>
            </w:r>
            <w:r w:rsidRPr="00A11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Ioannis Paniaras</w:t>
            </w:r>
            <w:r w:rsidRPr="00A11E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 xml:space="preserve"> </w:t>
            </w:r>
          </w:p>
          <w:p w14:paraId="7A378792" w14:textId="77777777" w:rsidR="00641C06" w:rsidRPr="00A11E4F" w:rsidRDefault="00641C06" w:rsidP="00641C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A11E4F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_________________________</w:t>
            </w:r>
          </w:p>
          <w:p w14:paraId="1EAE1AFA" w14:textId="680F62C7" w:rsidR="007A46F4" w:rsidRPr="00641C06" w:rsidRDefault="007A46F4" w:rsidP="00641C06">
            <w:pPr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2444C5" w14:textId="43A962AF" w:rsidR="00634A92" w:rsidRPr="00641C06" w:rsidRDefault="00634A92" w:rsidP="00BA4FAC">
      <w:pPr>
        <w:pStyle w:val="Subtitle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543B9942" w14:textId="0D734FF9" w:rsidR="00152EEB" w:rsidRPr="00641C06" w:rsidRDefault="00152EEB" w:rsidP="00152EEB">
      <w:pPr>
        <w:rPr>
          <w:rFonts w:asciiTheme="minorHAnsi" w:hAnsiTheme="minorHAnsi"/>
          <w:sz w:val="22"/>
          <w:szCs w:val="22"/>
        </w:rPr>
      </w:pPr>
    </w:p>
    <w:p w14:paraId="32CCA6EE" w14:textId="28A4895B" w:rsidR="00152EEB" w:rsidRPr="00641C06" w:rsidRDefault="00152EEB" w:rsidP="00152EEB">
      <w:pPr>
        <w:rPr>
          <w:rFonts w:asciiTheme="minorHAnsi" w:hAnsiTheme="minorHAnsi"/>
          <w:sz w:val="22"/>
          <w:szCs w:val="22"/>
        </w:rPr>
      </w:pPr>
    </w:p>
    <w:p w14:paraId="7EDAF030" w14:textId="77777777" w:rsidR="00152EEB" w:rsidRPr="00641C06" w:rsidRDefault="00152EEB" w:rsidP="00152EEB">
      <w:pPr>
        <w:rPr>
          <w:rFonts w:asciiTheme="minorHAnsi" w:hAnsiTheme="minorHAnsi"/>
          <w:sz w:val="22"/>
          <w:szCs w:val="22"/>
        </w:rPr>
      </w:pPr>
    </w:p>
    <w:sectPr w:rsidR="00152EEB" w:rsidRPr="00641C06" w:rsidSect="00854B03">
      <w:foot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F04C" w14:textId="77777777" w:rsidR="003C2112" w:rsidRDefault="003C2112" w:rsidP="00300256">
      <w:r>
        <w:separator/>
      </w:r>
    </w:p>
  </w:endnote>
  <w:endnote w:type="continuationSeparator" w:id="0">
    <w:p w14:paraId="58B5BB07" w14:textId="77777777" w:rsidR="003C2112" w:rsidRDefault="003C2112" w:rsidP="0030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255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60681" w14:textId="4EA90C52" w:rsidR="00DA7BBF" w:rsidRDefault="009753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9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E446AD" w14:textId="77777777" w:rsidR="00DA7BBF" w:rsidRDefault="00DA7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CD69" w14:textId="77777777" w:rsidR="003C2112" w:rsidRDefault="003C2112" w:rsidP="00300256">
      <w:r>
        <w:separator/>
      </w:r>
    </w:p>
  </w:footnote>
  <w:footnote w:type="continuationSeparator" w:id="0">
    <w:p w14:paraId="2E04D094" w14:textId="77777777" w:rsidR="003C2112" w:rsidRDefault="003C2112" w:rsidP="0030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C4A"/>
    <w:multiLevelType w:val="multilevel"/>
    <w:tmpl w:val="042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9490F"/>
    <w:multiLevelType w:val="hybridMultilevel"/>
    <w:tmpl w:val="E528A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54702"/>
    <w:multiLevelType w:val="hybridMultilevel"/>
    <w:tmpl w:val="EC38C1A6"/>
    <w:lvl w:ilvl="0" w:tplc="73643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E6540"/>
    <w:multiLevelType w:val="multilevel"/>
    <w:tmpl w:val="E9BEDD8C"/>
    <w:lvl w:ilvl="0">
      <w:start w:val="3"/>
      <w:numFmt w:val="decimal"/>
      <w:lvlText w:val="%1.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8" w:hanging="2160"/>
      </w:pPr>
      <w:rPr>
        <w:rFonts w:hint="default"/>
      </w:rPr>
    </w:lvl>
  </w:abstractNum>
  <w:abstractNum w:abstractNumId="4" w15:restartNumberingAfterBreak="0">
    <w:nsid w:val="053F61AC"/>
    <w:multiLevelType w:val="hybridMultilevel"/>
    <w:tmpl w:val="199CD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D1758"/>
    <w:multiLevelType w:val="hybridMultilevel"/>
    <w:tmpl w:val="A584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176"/>
    <w:multiLevelType w:val="hybridMultilevel"/>
    <w:tmpl w:val="F948CB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E46AB"/>
    <w:multiLevelType w:val="hybridMultilevel"/>
    <w:tmpl w:val="4296EC62"/>
    <w:lvl w:ilvl="0" w:tplc="A51EF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AA6"/>
    <w:multiLevelType w:val="multilevel"/>
    <w:tmpl w:val="FEDAB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C6262D0"/>
    <w:multiLevelType w:val="multilevel"/>
    <w:tmpl w:val="9084A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88279A"/>
    <w:multiLevelType w:val="multilevel"/>
    <w:tmpl w:val="042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07027"/>
    <w:multiLevelType w:val="multilevel"/>
    <w:tmpl w:val="AB2C5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CC6BE7"/>
    <w:multiLevelType w:val="multilevel"/>
    <w:tmpl w:val="E9BED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E46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A71821"/>
    <w:multiLevelType w:val="hybridMultilevel"/>
    <w:tmpl w:val="52D2A99E"/>
    <w:lvl w:ilvl="0" w:tplc="B606B2B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265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2C4C42"/>
    <w:multiLevelType w:val="hybridMultilevel"/>
    <w:tmpl w:val="AE581728"/>
    <w:lvl w:ilvl="0" w:tplc="5784D1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B375E"/>
    <w:multiLevelType w:val="singleLevel"/>
    <w:tmpl w:val="1506E7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B80F1A"/>
    <w:multiLevelType w:val="multilevel"/>
    <w:tmpl w:val="28826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AB131C3"/>
    <w:multiLevelType w:val="multilevel"/>
    <w:tmpl w:val="9084A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720F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C541DE"/>
    <w:multiLevelType w:val="hybridMultilevel"/>
    <w:tmpl w:val="2BA0FE66"/>
    <w:lvl w:ilvl="0" w:tplc="C8A4B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D631F"/>
    <w:multiLevelType w:val="hybridMultilevel"/>
    <w:tmpl w:val="F0B04BC4"/>
    <w:lvl w:ilvl="0" w:tplc="A51EF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77B30"/>
    <w:multiLevelType w:val="hybridMultilevel"/>
    <w:tmpl w:val="5DEC8138"/>
    <w:lvl w:ilvl="0" w:tplc="496888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14B7C"/>
    <w:multiLevelType w:val="multilevel"/>
    <w:tmpl w:val="B5FC1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D4371B"/>
    <w:multiLevelType w:val="hybridMultilevel"/>
    <w:tmpl w:val="4BAA3EA0"/>
    <w:lvl w:ilvl="0" w:tplc="E710E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57CF0"/>
    <w:multiLevelType w:val="hybridMultilevel"/>
    <w:tmpl w:val="BFC802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C67B73"/>
    <w:multiLevelType w:val="multilevel"/>
    <w:tmpl w:val="042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CC2484"/>
    <w:multiLevelType w:val="hybridMultilevel"/>
    <w:tmpl w:val="6C92B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512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242E2B"/>
    <w:multiLevelType w:val="hybridMultilevel"/>
    <w:tmpl w:val="4D6470C2"/>
    <w:lvl w:ilvl="0" w:tplc="2556AB4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E1DC7"/>
    <w:multiLevelType w:val="multilevel"/>
    <w:tmpl w:val="201A1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A5D100A"/>
    <w:multiLevelType w:val="singleLevel"/>
    <w:tmpl w:val="8A5451F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D76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6299947">
    <w:abstractNumId w:val="32"/>
  </w:num>
  <w:num w:numId="2" w16cid:durableId="212734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2333303">
    <w:abstractNumId w:val="6"/>
  </w:num>
  <w:num w:numId="4" w16cid:durableId="678122976">
    <w:abstractNumId w:val="30"/>
  </w:num>
  <w:num w:numId="5" w16cid:durableId="1657492870">
    <w:abstractNumId w:val="16"/>
  </w:num>
  <w:num w:numId="6" w16cid:durableId="322781572">
    <w:abstractNumId w:val="25"/>
  </w:num>
  <w:num w:numId="7" w16cid:durableId="634289747">
    <w:abstractNumId w:val="4"/>
  </w:num>
  <w:num w:numId="8" w16cid:durableId="1969771917">
    <w:abstractNumId w:val="28"/>
  </w:num>
  <w:num w:numId="9" w16cid:durableId="994338099">
    <w:abstractNumId w:val="21"/>
  </w:num>
  <w:num w:numId="10" w16cid:durableId="878123172">
    <w:abstractNumId w:val="8"/>
  </w:num>
  <w:num w:numId="11" w16cid:durableId="1056707982">
    <w:abstractNumId w:val="33"/>
  </w:num>
  <w:num w:numId="12" w16cid:durableId="326595058">
    <w:abstractNumId w:val="23"/>
  </w:num>
  <w:num w:numId="13" w16cid:durableId="609581855">
    <w:abstractNumId w:val="29"/>
  </w:num>
  <w:num w:numId="14" w16cid:durableId="1467966899">
    <w:abstractNumId w:val="24"/>
  </w:num>
  <w:num w:numId="15" w16cid:durableId="1315795881">
    <w:abstractNumId w:val="14"/>
  </w:num>
  <w:num w:numId="16" w16cid:durableId="393889726">
    <w:abstractNumId w:val="5"/>
  </w:num>
  <w:num w:numId="17" w16cid:durableId="407266415">
    <w:abstractNumId w:val="22"/>
  </w:num>
  <w:num w:numId="18" w16cid:durableId="1357999438">
    <w:abstractNumId w:val="20"/>
  </w:num>
  <w:num w:numId="19" w16cid:durableId="1397976427">
    <w:abstractNumId w:val="1"/>
  </w:num>
  <w:num w:numId="20" w16cid:durableId="1732341266">
    <w:abstractNumId w:val="13"/>
  </w:num>
  <w:num w:numId="21" w16cid:durableId="1056971920">
    <w:abstractNumId w:val="15"/>
  </w:num>
  <w:num w:numId="22" w16cid:durableId="339432822">
    <w:abstractNumId w:val="17"/>
  </w:num>
  <w:num w:numId="23" w16cid:durableId="544411049">
    <w:abstractNumId w:val="26"/>
  </w:num>
  <w:num w:numId="24" w16cid:durableId="12227137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3262826">
    <w:abstractNumId w:val="19"/>
  </w:num>
  <w:num w:numId="26" w16cid:durableId="1025060674">
    <w:abstractNumId w:val="10"/>
  </w:num>
  <w:num w:numId="27" w16cid:durableId="161939482">
    <w:abstractNumId w:val="9"/>
  </w:num>
  <w:num w:numId="28" w16cid:durableId="931470731">
    <w:abstractNumId w:val="3"/>
  </w:num>
  <w:num w:numId="29" w16cid:durableId="1978297526">
    <w:abstractNumId w:val="31"/>
  </w:num>
  <w:num w:numId="30" w16cid:durableId="1689526855">
    <w:abstractNumId w:val="0"/>
  </w:num>
  <w:num w:numId="31" w16cid:durableId="123621041">
    <w:abstractNumId w:val="18"/>
  </w:num>
  <w:num w:numId="32" w16cid:durableId="504562764">
    <w:abstractNumId w:val="27"/>
  </w:num>
  <w:num w:numId="33" w16cid:durableId="1501969107">
    <w:abstractNumId w:val="11"/>
  </w:num>
  <w:num w:numId="34" w16cid:durableId="1727685840">
    <w:abstractNumId w:val="12"/>
  </w:num>
  <w:num w:numId="35" w16cid:durableId="1328939429">
    <w:abstractNumId w:val="2"/>
  </w:num>
  <w:num w:numId="36" w16cid:durableId="1772704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5D"/>
    <w:rsid w:val="00003B50"/>
    <w:rsid w:val="00021AE3"/>
    <w:rsid w:val="00031C38"/>
    <w:rsid w:val="0004376D"/>
    <w:rsid w:val="00061709"/>
    <w:rsid w:val="000623AA"/>
    <w:rsid w:val="0006552E"/>
    <w:rsid w:val="00076AF7"/>
    <w:rsid w:val="0008492F"/>
    <w:rsid w:val="000B312A"/>
    <w:rsid w:val="000D0117"/>
    <w:rsid w:val="000E3778"/>
    <w:rsid w:val="000E38B3"/>
    <w:rsid w:val="000E6A9C"/>
    <w:rsid w:val="000F5FF7"/>
    <w:rsid w:val="000F76A7"/>
    <w:rsid w:val="00106577"/>
    <w:rsid w:val="00107BE2"/>
    <w:rsid w:val="001259DB"/>
    <w:rsid w:val="00127DDB"/>
    <w:rsid w:val="00130525"/>
    <w:rsid w:val="001317FB"/>
    <w:rsid w:val="00134B8D"/>
    <w:rsid w:val="00141AC0"/>
    <w:rsid w:val="001438EC"/>
    <w:rsid w:val="00152EEB"/>
    <w:rsid w:val="001564F3"/>
    <w:rsid w:val="00160ABE"/>
    <w:rsid w:val="0018689B"/>
    <w:rsid w:val="001A21C0"/>
    <w:rsid w:val="001C14B0"/>
    <w:rsid w:val="001D73B0"/>
    <w:rsid w:val="001E21E9"/>
    <w:rsid w:val="0022000E"/>
    <w:rsid w:val="002240CF"/>
    <w:rsid w:val="002322BC"/>
    <w:rsid w:val="002348DD"/>
    <w:rsid w:val="00251D90"/>
    <w:rsid w:val="0026140E"/>
    <w:rsid w:val="00266AD0"/>
    <w:rsid w:val="00276ABE"/>
    <w:rsid w:val="0028254D"/>
    <w:rsid w:val="002877C3"/>
    <w:rsid w:val="002907F5"/>
    <w:rsid w:val="002B634A"/>
    <w:rsid w:val="002D1427"/>
    <w:rsid w:val="002D26E1"/>
    <w:rsid w:val="002E215B"/>
    <w:rsid w:val="002E68EE"/>
    <w:rsid w:val="002F35C3"/>
    <w:rsid w:val="00300256"/>
    <w:rsid w:val="00301D1A"/>
    <w:rsid w:val="00313207"/>
    <w:rsid w:val="00324ECC"/>
    <w:rsid w:val="00340168"/>
    <w:rsid w:val="00343005"/>
    <w:rsid w:val="00343972"/>
    <w:rsid w:val="00347B35"/>
    <w:rsid w:val="00355D3C"/>
    <w:rsid w:val="00374E21"/>
    <w:rsid w:val="00375526"/>
    <w:rsid w:val="00383F07"/>
    <w:rsid w:val="00390D59"/>
    <w:rsid w:val="003C1BEB"/>
    <w:rsid w:val="003C2112"/>
    <w:rsid w:val="003C2571"/>
    <w:rsid w:val="003D5BFF"/>
    <w:rsid w:val="003D7FD2"/>
    <w:rsid w:val="00425A05"/>
    <w:rsid w:val="0042646A"/>
    <w:rsid w:val="0043473E"/>
    <w:rsid w:val="00441DE9"/>
    <w:rsid w:val="00477550"/>
    <w:rsid w:val="004D705A"/>
    <w:rsid w:val="004F07B5"/>
    <w:rsid w:val="00505623"/>
    <w:rsid w:val="005153D2"/>
    <w:rsid w:val="00516844"/>
    <w:rsid w:val="00517B01"/>
    <w:rsid w:val="00553845"/>
    <w:rsid w:val="005614D0"/>
    <w:rsid w:val="00571713"/>
    <w:rsid w:val="005723D0"/>
    <w:rsid w:val="00582045"/>
    <w:rsid w:val="00586078"/>
    <w:rsid w:val="005911EC"/>
    <w:rsid w:val="00592131"/>
    <w:rsid w:val="005A5279"/>
    <w:rsid w:val="005B6E49"/>
    <w:rsid w:val="005B7851"/>
    <w:rsid w:val="005C635E"/>
    <w:rsid w:val="005F4B3C"/>
    <w:rsid w:val="006027D5"/>
    <w:rsid w:val="00604B95"/>
    <w:rsid w:val="0062661A"/>
    <w:rsid w:val="00630932"/>
    <w:rsid w:val="00634A92"/>
    <w:rsid w:val="00641C06"/>
    <w:rsid w:val="00643470"/>
    <w:rsid w:val="00652D2D"/>
    <w:rsid w:val="00660F66"/>
    <w:rsid w:val="00663DFA"/>
    <w:rsid w:val="00667DFF"/>
    <w:rsid w:val="00676E95"/>
    <w:rsid w:val="00677809"/>
    <w:rsid w:val="00693124"/>
    <w:rsid w:val="00694D47"/>
    <w:rsid w:val="006C29E6"/>
    <w:rsid w:val="006C7AC8"/>
    <w:rsid w:val="006D38CB"/>
    <w:rsid w:val="006E21CC"/>
    <w:rsid w:val="006E4E5A"/>
    <w:rsid w:val="006F4E1F"/>
    <w:rsid w:val="006F7B30"/>
    <w:rsid w:val="00700AA4"/>
    <w:rsid w:val="00702F3F"/>
    <w:rsid w:val="00705701"/>
    <w:rsid w:val="00712B7A"/>
    <w:rsid w:val="007142E0"/>
    <w:rsid w:val="00717430"/>
    <w:rsid w:val="00722512"/>
    <w:rsid w:val="0073732B"/>
    <w:rsid w:val="007378C8"/>
    <w:rsid w:val="00740A0F"/>
    <w:rsid w:val="0074352E"/>
    <w:rsid w:val="00744596"/>
    <w:rsid w:val="0075229A"/>
    <w:rsid w:val="0076556C"/>
    <w:rsid w:val="00771A3F"/>
    <w:rsid w:val="00785423"/>
    <w:rsid w:val="007A46F4"/>
    <w:rsid w:val="007B136E"/>
    <w:rsid w:val="007B30DD"/>
    <w:rsid w:val="007C380E"/>
    <w:rsid w:val="007C59E4"/>
    <w:rsid w:val="007F0D38"/>
    <w:rsid w:val="007F11FD"/>
    <w:rsid w:val="007F5EE5"/>
    <w:rsid w:val="00810981"/>
    <w:rsid w:val="008172FE"/>
    <w:rsid w:val="00823EB9"/>
    <w:rsid w:val="008451D5"/>
    <w:rsid w:val="008503C2"/>
    <w:rsid w:val="00854B03"/>
    <w:rsid w:val="008575AD"/>
    <w:rsid w:val="00857A3D"/>
    <w:rsid w:val="008A0AA8"/>
    <w:rsid w:val="008A680B"/>
    <w:rsid w:val="008B6C45"/>
    <w:rsid w:val="008C151B"/>
    <w:rsid w:val="008D2AE8"/>
    <w:rsid w:val="008D4BBB"/>
    <w:rsid w:val="008D6F29"/>
    <w:rsid w:val="008E04FF"/>
    <w:rsid w:val="008E23E6"/>
    <w:rsid w:val="008E7245"/>
    <w:rsid w:val="008F24E6"/>
    <w:rsid w:val="009157B2"/>
    <w:rsid w:val="00937E46"/>
    <w:rsid w:val="0094163B"/>
    <w:rsid w:val="009473A3"/>
    <w:rsid w:val="0094799C"/>
    <w:rsid w:val="009479A2"/>
    <w:rsid w:val="00960496"/>
    <w:rsid w:val="00962362"/>
    <w:rsid w:val="00974954"/>
    <w:rsid w:val="0097539C"/>
    <w:rsid w:val="00985C01"/>
    <w:rsid w:val="009A0ADE"/>
    <w:rsid w:val="009A5367"/>
    <w:rsid w:val="009C5D08"/>
    <w:rsid w:val="009C5DD2"/>
    <w:rsid w:val="009E3353"/>
    <w:rsid w:val="00A03EE3"/>
    <w:rsid w:val="00A11CF6"/>
    <w:rsid w:val="00A11E4F"/>
    <w:rsid w:val="00A24D8E"/>
    <w:rsid w:val="00A33BB7"/>
    <w:rsid w:val="00A34FA7"/>
    <w:rsid w:val="00A461AA"/>
    <w:rsid w:val="00A67AC5"/>
    <w:rsid w:val="00A736C6"/>
    <w:rsid w:val="00A8056A"/>
    <w:rsid w:val="00A91644"/>
    <w:rsid w:val="00A92941"/>
    <w:rsid w:val="00AA0458"/>
    <w:rsid w:val="00AC259D"/>
    <w:rsid w:val="00AC2F84"/>
    <w:rsid w:val="00AC39CE"/>
    <w:rsid w:val="00AD35BA"/>
    <w:rsid w:val="00AE76B1"/>
    <w:rsid w:val="00AE7F55"/>
    <w:rsid w:val="00B00CBC"/>
    <w:rsid w:val="00B1282C"/>
    <w:rsid w:val="00B148D4"/>
    <w:rsid w:val="00B151F8"/>
    <w:rsid w:val="00B171E9"/>
    <w:rsid w:val="00B33D5D"/>
    <w:rsid w:val="00B356B4"/>
    <w:rsid w:val="00B4660A"/>
    <w:rsid w:val="00B51185"/>
    <w:rsid w:val="00B54490"/>
    <w:rsid w:val="00B751D6"/>
    <w:rsid w:val="00B8051F"/>
    <w:rsid w:val="00B9225E"/>
    <w:rsid w:val="00B95000"/>
    <w:rsid w:val="00BA0100"/>
    <w:rsid w:val="00BA4FAC"/>
    <w:rsid w:val="00BB0308"/>
    <w:rsid w:val="00BB077C"/>
    <w:rsid w:val="00BB62C3"/>
    <w:rsid w:val="00BB652C"/>
    <w:rsid w:val="00C06B4A"/>
    <w:rsid w:val="00C150D4"/>
    <w:rsid w:val="00C24D97"/>
    <w:rsid w:val="00C25F70"/>
    <w:rsid w:val="00C34475"/>
    <w:rsid w:val="00C42C74"/>
    <w:rsid w:val="00C4409A"/>
    <w:rsid w:val="00C674AC"/>
    <w:rsid w:val="00C75601"/>
    <w:rsid w:val="00CA2812"/>
    <w:rsid w:val="00CB0650"/>
    <w:rsid w:val="00CE7CBE"/>
    <w:rsid w:val="00CF1DD5"/>
    <w:rsid w:val="00CF696B"/>
    <w:rsid w:val="00D106D3"/>
    <w:rsid w:val="00D3303E"/>
    <w:rsid w:val="00D46EDF"/>
    <w:rsid w:val="00D51CA9"/>
    <w:rsid w:val="00D558AF"/>
    <w:rsid w:val="00D61DC6"/>
    <w:rsid w:val="00D63198"/>
    <w:rsid w:val="00D66DD0"/>
    <w:rsid w:val="00D74430"/>
    <w:rsid w:val="00D762DD"/>
    <w:rsid w:val="00D8771A"/>
    <w:rsid w:val="00DA25E0"/>
    <w:rsid w:val="00DA55C0"/>
    <w:rsid w:val="00DA7BBF"/>
    <w:rsid w:val="00DB699C"/>
    <w:rsid w:val="00DE128E"/>
    <w:rsid w:val="00DE4674"/>
    <w:rsid w:val="00DF02C8"/>
    <w:rsid w:val="00DF28D5"/>
    <w:rsid w:val="00DF372E"/>
    <w:rsid w:val="00E01FC0"/>
    <w:rsid w:val="00E04FC6"/>
    <w:rsid w:val="00E060EA"/>
    <w:rsid w:val="00E30812"/>
    <w:rsid w:val="00E3280B"/>
    <w:rsid w:val="00E35EE6"/>
    <w:rsid w:val="00E400D3"/>
    <w:rsid w:val="00E51848"/>
    <w:rsid w:val="00E75B99"/>
    <w:rsid w:val="00E855B6"/>
    <w:rsid w:val="00EB2DBD"/>
    <w:rsid w:val="00EC00E9"/>
    <w:rsid w:val="00EC5CFE"/>
    <w:rsid w:val="00EC7ECC"/>
    <w:rsid w:val="00ED5BFE"/>
    <w:rsid w:val="00EF7023"/>
    <w:rsid w:val="00F17323"/>
    <w:rsid w:val="00F23E91"/>
    <w:rsid w:val="00F26E3B"/>
    <w:rsid w:val="00F321B7"/>
    <w:rsid w:val="00F50305"/>
    <w:rsid w:val="00F65194"/>
    <w:rsid w:val="00F65426"/>
    <w:rsid w:val="00F73466"/>
    <w:rsid w:val="00F863C2"/>
    <w:rsid w:val="00F948D7"/>
    <w:rsid w:val="00F97273"/>
    <w:rsid w:val="00FA380E"/>
    <w:rsid w:val="00FA3EE7"/>
    <w:rsid w:val="00FB11D7"/>
    <w:rsid w:val="00FB25D6"/>
    <w:rsid w:val="00FB5657"/>
    <w:rsid w:val="00FB7E19"/>
    <w:rsid w:val="00FD6375"/>
    <w:rsid w:val="00FE3477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1352"/>
  <w15:docId w15:val="{C4F44E8D-B1AC-409B-8E98-24595677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163B"/>
    <w:pPr>
      <w:keepNext/>
      <w:jc w:val="right"/>
      <w:outlineLvl w:val="0"/>
    </w:pPr>
    <w:rPr>
      <w:rFonts w:ascii="MAC C Times" w:hAnsi="MAC C 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B33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33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TableGrid">
    <w:name w:val="Table Grid"/>
    <w:basedOn w:val="TableNormal"/>
    <w:rsid w:val="0063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A92"/>
    <w:pPr>
      <w:ind w:left="72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94163B"/>
    <w:rPr>
      <w:rFonts w:ascii="MAC C Times" w:eastAsia="Times New Roman" w:hAnsi="MAC C Times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C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0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2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0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2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3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34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51D90"/>
    <w:pPr>
      <w:jc w:val="both"/>
    </w:pPr>
    <w:rPr>
      <w:sz w:val="22"/>
      <w:szCs w:val="20"/>
      <w:lang w:val="mk-MK"/>
    </w:rPr>
  </w:style>
  <w:style w:type="character" w:customStyle="1" w:styleId="BodyTextChar">
    <w:name w:val="Body Text Char"/>
    <w:basedOn w:val="DefaultParagraphFont"/>
    <w:link w:val="BodyText"/>
    <w:rsid w:val="00251D9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Usje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ZivkaI</dc:creator>
  <cp:lastModifiedBy>Micajkova Violeta</cp:lastModifiedBy>
  <cp:revision>25</cp:revision>
  <cp:lastPrinted>2019-04-11T10:32:00Z</cp:lastPrinted>
  <dcterms:created xsi:type="dcterms:W3CDTF">2019-04-11T09:33:00Z</dcterms:created>
  <dcterms:modified xsi:type="dcterms:W3CDTF">2023-04-12T08:22:00Z</dcterms:modified>
</cp:coreProperties>
</file>